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DD" w:rsidRPr="00502FDD" w:rsidRDefault="00502FDD" w:rsidP="00502FDD">
      <w:pPr>
        <w:jc w:val="center"/>
        <w:rPr>
          <w:sz w:val="28"/>
          <w:szCs w:val="28"/>
        </w:rPr>
      </w:pPr>
    </w:p>
    <w:p w:rsidR="00502FDD" w:rsidRPr="00502FDD" w:rsidRDefault="00502FDD" w:rsidP="00502FDD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502FDD">
        <w:rPr>
          <w:b/>
          <w:kern w:val="32"/>
          <w:sz w:val="28"/>
          <w:szCs w:val="28"/>
        </w:rPr>
        <w:t xml:space="preserve">АДМИНИСТРАЦИЯ </w:t>
      </w:r>
    </w:p>
    <w:p w:rsidR="00502FDD" w:rsidRPr="00502FDD" w:rsidRDefault="00502FDD" w:rsidP="00502FDD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502FDD">
        <w:rPr>
          <w:b/>
          <w:kern w:val="32"/>
          <w:sz w:val="28"/>
          <w:szCs w:val="28"/>
        </w:rPr>
        <w:t>ДУБРОВИНСКОГО</w:t>
      </w:r>
      <w:r w:rsidRPr="00502FDD">
        <w:rPr>
          <w:b/>
          <w:kern w:val="32"/>
          <w:sz w:val="28"/>
          <w:szCs w:val="28"/>
        </w:rPr>
        <w:t xml:space="preserve"> СЕЛЬСОВЕТА</w:t>
      </w:r>
      <w:r w:rsidRPr="00502FDD">
        <w:rPr>
          <w:b/>
          <w:kern w:val="32"/>
          <w:sz w:val="28"/>
          <w:szCs w:val="28"/>
        </w:rPr>
        <w:t xml:space="preserve"> </w:t>
      </w:r>
      <w:r w:rsidRPr="00502FDD">
        <w:rPr>
          <w:b/>
          <w:bCs/>
          <w:sz w:val="28"/>
          <w:szCs w:val="28"/>
        </w:rPr>
        <w:t>МОШКОВСКОГО РАЙОНА НОВОСИБИРСКОЙ ОБЛАСТИ</w:t>
      </w:r>
    </w:p>
    <w:p w:rsidR="00502FDD" w:rsidRPr="00502FDD" w:rsidRDefault="00502FDD" w:rsidP="00502FDD">
      <w:pPr>
        <w:jc w:val="center"/>
        <w:rPr>
          <w:b/>
          <w:bCs/>
          <w:sz w:val="28"/>
          <w:szCs w:val="28"/>
        </w:rPr>
      </w:pPr>
    </w:p>
    <w:p w:rsidR="00502FDD" w:rsidRPr="00502FDD" w:rsidRDefault="00502FDD" w:rsidP="00502FDD">
      <w:pPr>
        <w:keepNext/>
        <w:jc w:val="center"/>
        <w:outlineLvl w:val="1"/>
        <w:rPr>
          <w:b/>
          <w:iCs/>
          <w:sz w:val="28"/>
          <w:szCs w:val="28"/>
          <w:lang w:val="x-none"/>
        </w:rPr>
      </w:pPr>
      <w:r w:rsidRPr="00502FDD">
        <w:rPr>
          <w:b/>
          <w:iCs/>
          <w:sz w:val="28"/>
          <w:szCs w:val="28"/>
          <w:lang w:val="x-none"/>
        </w:rPr>
        <w:t>ПОСТАНОВЛЕНИЕ</w:t>
      </w:r>
    </w:p>
    <w:p w:rsidR="00502FDD" w:rsidRPr="00502FDD" w:rsidRDefault="00502FDD" w:rsidP="00502FD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02FDD" w:rsidRPr="00502FDD" w:rsidRDefault="00502FDD" w:rsidP="00502FDD">
      <w:pPr>
        <w:jc w:val="center"/>
        <w:rPr>
          <w:sz w:val="28"/>
          <w:szCs w:val="28"/>
        </w:rPr>
      </w:pPr>
      <w:r w:rsidRPr="00502FDD">
        <w:rPr>
          <w:sz w:val="28"/>
          <w:szCs w:val="28"/>
        </w:rPr>
        <w:t xml:space="preserve">от </w:t>
      </w:r>
      <w:r w:rsidRPr="00502FDD">
        <w:rPr>
          <w:sz w:val="28"/>
          <w:szCs w:val="28"/>
        </w:rPr>
        <w:t>10</w:t>
      </w:r>
      <w:r w:rsidRPr="00502FDD">
        <w:rPr>
          <w:sz w:val="28"/>
          <w:szCs w:val="28"/>
        </w:rPr>
        <w:t xml:space="preserve">.03.2023 № </w:t>
      </w:r>
      <w:r w:rsidRPr="00502FDD">
        <w:rPr>
          <w:sz w:val="28"/>
          <w:szCs w:val="28"/>
        </w:rPr>
        <w:t>30</w:t>
      </w:r>
    </w:p>
    <w:p w:rsidR="00502FDD" w:rsidRPr="00502FDD" w:rsidRDefault="00502FDD" w:rsidP="00502FDD">
      <w:pPr>
        <w:jc w:val="center"/>
        <w:rPr>
          <w:sz w:val="28"/>
          <w:szCs w:val="24"/>
        </w:rPr>
      </w:pPr>
    </w:p>
    <w:p w:rsidR="00502FDD" w:rsidRPr="00502FDD" w:rsidRDefault="00502FDD" w:rsidP="00502FDD">
      <w:pPr>
        <w:jc w:val="center"/>
        <w:rPr>
          <w:b/>
          <w:sz w:val="28"/>
          <w:szCs w:val="24"/>
        </w:rPr>
      </w:pPr>
      <w:r w:rsidRPr="00502FDD">
        <w:rPr>
          <w:b/>
          <w:bCs/>
          <w:color w:val="000000"/>
          <w:sz w:val="28"/>
          <w:szCs w:val="28"/>
        </w:rPr>
        <w:t>Об утверждении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муниципальной собственности</w:t>
      </w:r>
      <w:r w:rsidRPr="00502FDD">
        <w:rPr>
          <w:b/>
          <w:bCs/>
          <w:color w:val="000000"/>
          <w:sz w:val="28"/>
          <w:szCs w:val="28"/>
        </w:rPr>
        <w:t xml:space="preserve"> администрации Дубровинского</w:t>
      </w:r>
      <w:r w:rsidRPr="00502FDD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502FDD">
        <w:rPr>
          <w:b/>
          <w:bCs/>
          <w:color w:val="000000"/>
          <w:sz w:val="28"/>
          <w:szCs w:val="28"/>
        </w:rPr>
        <w:t>Мошковского</w:t>
      </w:r>
      <w:proofErr w:type="spellEnd"/>
      <w:r w:rsidRPr="00502FDD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502FDD" w:rsidRPr="00502FDD" w:rsidRDefault="00502FDD" w:rsidP="00502FDD">
      <w:pPr>
        <w:jc w:val="center"/>
        <w:rPr>
          <w:b/>
          <w:sz w:val="28"/>
          <w:szCs w:val="24"/>
        </w:rPr>
      </w:pPr>
    </w:p>
    <w:p w:rsidR="00502FDD" w:rsidRPr="00502FDD" w:rsidRDefault="00502FDD" w:rsidP="00502FDD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02FDD">
        <w:rPr>
          <w:sz w:val="28"/>
          <w:szCs w:val="28"/>
        </w:rPr>
        <w:t>В соответствии со статьей 39.36-1 Земельного кодекса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постановлением Правительства Новосибирской области от 17.11.2021 года № 468-п «О порядке использования гражданами земель и земельных участков, находящихся в государственной или в муниципальной собственности, для возведения гаражей, являющимися некапитальными сооружениями, либо для стоянки технических или других средств передвижения инвалидов вблизи их места жительства», руководствуясь Уставом</w:t>
      </w:r>
      <w:r>
        <w:rPr>
          <w:sz w:val="28"/>
          <w:szCs w:val="28"/>
        </w:rPr>
        <w:t xml:space="preserve"> сельского поселения Дубровинского</w:t>
      </w:r>
      <w:r w:rsidRPr="00502FDD">
        <w:rPr>
          <w:sz w:val="28"/>
          <w:szCs w:val="28"/>
        </w:rPr>
        <w:t xml:space="preserve"> сельсовета </w:t>
      </w:r>
      <w:proofErr w:type="spellStart"/>
      <w:r w:rsidRPr="00502FDD">
        <w:rPr>
          <w:sz w:val="28"/>
          <w:szCs w:val="28"/>
        </w:rPr>
        <w:t>Мошковского</w:t>
      </w:r>
      <w:proofErr w:type="spellEnd"/>
      <w:r w:rsidRPr="00502FDD">
        <w:rPr>
          <w:sz w:val="28"/>
          <w:szCs w:val="28"/>
        </w:rPr>
        <w:t xml:space="preserve"> муниципального района Новосибирской области,</w:t>
      </w:r>
    </w:p>
    <w:p w:rsidR="00502FDD" w:rsidRPr="00502FDD" w:rsidRDefault="00502FDD" w:rsidP="00502FDD">
      <w:pPr>
        <w:rPr>
          <w:sz w:val="28"/>
          <w:szCs w:val="28"/>
        </w:rPr>
      </w:pPr>
      <w:r w:rsidRPr="00502FDD">
        <w:rPr>
          <w:sz w:val="28"/>
          <w:szCs w:val="28"/>
        </w:rPr>
        <w:t>ПОСТАНОВЛЯЮ:</w:t>
      </w:r>
    </w:p>
    <w:p w:rsidR="00502FDD" w:rsidRPr="00502FDD" w:rsidRDefault="00502FDD" w:rsidP="00502FDD">
      <w:pPr>
        <w:ind w:firstLine="851"/>
        <w:jc w:val="both"/>
        <w:rPr>
          <w:sz w:val="28"/>
          <w:szCs w:val="28"/>
        </w:rPr>
      </w:pPr>
      <w:r w:rsidRPr="00502FDD">
        <w:rPr>
          <w:sz w:val="28"/>
          <w:szCs w:val="28"/>
        </w:rPr>
        <w:t xml:space="preserve">1. Утвердить </w:t>
      </w:r>
      <w:r w:rsidRPr="00502FDD">
        <w:rPr>
          <w:bCs/>
          <w:color w:val="000000"/>
          <w:sz w:val="28"/>
          <w:szCs w:val="28"/>
        </w:rPr>
        <w:t>схему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муниципальной собственности</w:t>
      </w:r>
      <w:r>
        <w:rPr>
          <w:bCs/>
          <w:color w:val="000000"/>
          <w:sz w:val="28"/>
          <w:szCs w:val="28"/>
        </w:rPr>
        <w:t xml:space="preserve"> администрации Дубровинского</w:t>
      </w:r>
      <w:r w:rsidRPr="00502FDD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502FDD">
        <w:rPr>
          <w:bCs/>
          <w:color w:val="000000"/>
          <w:sz w:val="28"/>
          <w:szCs w:val="28"/>
        </w:rPr>
        <w:t>Мошковского</w:t>
      </w:r>
      <w:proofErr w:type="spellEnd"/>
      <w:r w:rsidRPr="00502FDD">
        <w:rPr>
          <w:bCs/>
          <w:color w:val="000000"/>
          <w:sz w:val="28"/>
          <w:szCs w:val="28"/>
        </w:rPr>
        <w:t xml:space="preserve"> района Новосибирской области согласно приложения.</w:t>
      </w:r>
    </w:p>
    <w:p w:rsidR="00502FDD" w:rsidRPr="00502FDD" w:rsidRDefault="00502FDD" w:rsidP="00502FDD">
      <w:pPr>
        <w:ind w:firstLine="851"/>
        <w:jc w:val="both"/>
        <w:rPr>
          <w:sz w:val="28"/>
          <w:szCs w:val="28"/>
        </w:rPr>
      </w:pPr>
      <w:r w:rsidRPr="00502FDD">
        <w:rPr>
          <w:sz w:val="28"/>
          <w:szCs w:val="28"/>
        </w:rPr>
        <w:t>2. Опубликовать постановление в периодическом печатно</w:t>
      </w:r>
      <w:r>
        <w:rPr>
          <w:sz w:val="28"/>
          <w:szCs w:val="28"/>
        </w:rPr>
        <w:t xml:space="preserve">м издании «Вести Дубровинского </w:t>
      </w:r>
      <w:proofErr w:type="gramStart"/>
      <w:r>
        <w:rPr>
          <w:sz w:val="28"/>
          <w:szCs w:val="28"/>
        </w:rPr>
        <w:t>сельсовета»</w:t>
      </w:r>
      <w:r w:rsidRPr="00502FDD">
        <w:rPr>
          <w:sz w:val="28"/>
          <w:szCs w:val="28"/>
        </w:rPr>
        <w:t xml:space="preserve">  и</w:t>
      </w:r>
      <w:proofErr w:type="gramEnd"/>
      <w:r w:rsidRPr="00502FDD">
        <w:rPr>
          <w:sz w:val="28"/>
          <w:szCs w:val="28"/>
        </w:rPr>
        <w:t xml:space="preserve"> на </w:t>
      </w:r>
      <w:r>
        <w:rPr>
          <w:sz w:val="28"/>
          <w:szCs w:val="28"/>
        </w:rPr>
        <w:t>официальном сайте Дубровинского</w:t>
      </w:r>
      <w:r w:rsidRPr="00502FDD">
        <w:rPr>
          <w:sz w:val="28"/>
          <w:szCs w:val="28"/>
        </w:rPr>
        <w:t xml:space="preserve"> сельсовета </w:t>
      </w:r>
      <w:proofErr w:type="spellStart"/>
      <w:r w:rsidRPr="00502FDD">
        <w:rPr>
          <w:sz w:val="28"/>
          <w:szCs w:val="28"/>
        </w:rPr>
        <w:t>Мошковского</w:t>
      </w:r>
      <w:proofErr w:type="spellEnd"/>
      <w:r w:rsidRPr="00502FDD">
        <w:rPr>
          <w:sz w:val="28"/>
          <w:szCs w:val="28"/>
        </w:rPr>
        <w:t xml:space="preserve"> района Новосибирской области.</w:t>
      </w:r>
    </w:p>
    <w:p w:rsidR="00502FDD" w:rsidRPr="00502FDD" w:rsidRDefault="00502FDD" w:rsidP="00502FDD">
      <w:pPr>
        <w:ind w:firstLine="851"/>
        <w:jc w:val="both"/>
        <w:rPr>
          <w:sz w:val="28"/>
          <w:szCs w:val="28"/>
        </w:rPr>
      </w:pPr>
      <w:r w:rsidRPr="00502FDD">
        <w:rPr>
          <w:sz w:val="28"/>
          <w:szCs w:val="28"/>
        </w:rPr>
        <w:t>3. Контроль за настоящим постановлением оставляю за собой</w:t>
      </w:r>
    </w:p>
    <w:p w:rsidR="00502FDD" w:rsidRPr="00502FDD" w:rsidRDefault="00502FDD" w:rsidP="00502FDD">
      <w:pPr>
        <w:tabs>
          <w:tab w:val="left" w:pos="1276"/>
        </w:tabs>
        <w:suppressAutoHyphens/>
        <w:ind w:left="720"/>
        <w:contextualSpacing/>
        <w:jc w:val="both"/>
        <w:rPr>
          <w:sz w:val="28"/>
          <w:szCs w:val="28"/>
        </w:rPr>
      </w:pPr>
    </w:p>
    <w:p w:rsidR="00502FDD" w:rsidRPr="00502FDD" w:rsidRDefault="00502FDD" w:rsidP="00502FDD">
      <w:pPr>
        <w:tabs>
          <w:tab w:val="left" w:pos="1276"/>
        </w:tabs>
        <w:suppressAutoHyphens/>
        <w:ind w:left="720"/>
        <w:contextualSpacing/>
        <w:jc w:val="both"/>
        <w:rPr>
          <w:sz w:val="28"/>
          <w:szCs w:val="28"/>
        </w:rPr>
      </w:pPr>
    </w:p>
    <w:p w:rsidR="00502FDD" w:rsidRPr="00502FDD" w:rsidRDefault="00502FDD" w:rsidP="00502FDD">
      <w:pPr>
        <w:tabs>
          <w:tab w:val="left" w:pos="1276"/>
        </w:tabs>
        <w:suppressAutoHyphens/>
        <w:ind w:left="720"/>
        <w:contextualSpacing/>
        <w:jc w:val="both"/>
        <w:rPr>
          <w:sz w:val="28"/>
          <w:szCs w:val="28"/>
        </w:rPr>
      </w:pPr>
    </w:p>
    <w:p w:rsidR="00502FDD" w:rsidRPr="00502FDD" w:rsidRDefault="00502FDD" w:rsidP="00502FDD">
      <w:pPr>
        <w:autoSpaceDE w:val="0"/>
        <w:autoSpaceDN w:val="0"/>
        <w:adjustRightInd w:val="0"/>
        <w:spacing w:line="204" w:lineRule="auto"/>
        <w:jc w:val="both"/>
        <w:outlineLvl w:val="0"/>
        <w:rPr>
          <w:bCs/>
          <w:sz w:val="28"/>
          <w:szCs w:val="28"/>
        </w:rPr>
      </w:pPr>
      <w:r w:rsidRPr="00502FDD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Дубровинского</w:t>
      </w:r>
      <w:r w:rsidRPr="00502FDD">
        <w:rPr>
          <w:bCs/>
          <w:sz w:val="28"/>
          <w:szCs w:val="28"/>
        </w:rPr>
        <w:t xml:space="preserve"> сельсовета</w:t>
      </w:r>
    </w:p>
    <w:p w:rsidR="00502FDD" w:rsidRPr="00502FDD" w:rsidRDefault="00502FDD" w:rsidP="00502FDD">
      <w:pPr>
        <w:autoSpaceDE w:val="0"/>
        <w:autoSpaceDN w:val="0"/>
        <w:adjustRightInd w:val="0"/>
        <w:spacing w:line="204" w:lineRule="auto"/>
        <w:jc w:val="both"/>
        <w:outlineLvl w:val="0"/>
        <w:rPr>
          <w:bCs/>
          <w:sz w:val="28"/>
          <w:szCs w:val="28"/>
        </w:rPr>
      </w:pPr>
      <w:proofErr w:type="spellStart"/>
      <w:r w:rsidRPr="00502FDD">
        <w:rPr>
          <w:bCs/>
          <w:sz w:val="28"/>
          <w:szCs w:val="28"/>
        </w:rPr>
        <w:t>Мошковского</w:t>
      </w:r>
      <w:proofErr w:type="spellEnd"/>
      <w:r w:rsidRPr="00502FDD">
        <w:rPr>
          <w:bCs/>
          <w:sz w:val="28"/>
          <w:szCs w:val="28"/>
        </w:rPr>
        <w:t xml:space="preserve"> района </w:t>
      </w:r>
    </w:p>
    <w:p w:rsidR="00502FDD" w:rsidRPr="00502FDD" w:rsidRDefault="00502FDD" w:rsidP="00502FDD">
      <w:pPr>
        <w:rPr>
          <w:sz w:val="28"/>
          <w:szCs w:val="28"/>
        </w:rPr>
      </w:pPr>
      <w:r w:rsidRPr="00502FDD">
        <w:rPr>
          <w:sz w:val="28"/>
          <w:szCs w:val="28"/>
        </w:rPr>
        <w:t xml:space="preserve">Новосибирской области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О.С.Шумкин</w:t>
      </w:r>
      <w:proofErr w:type="spellEnd"/>
      <w:r>
        <w:rPr>
          <w:sz w:val="28"/>
          <w:szCs w:val="28"/>
        </w:rPr>
        <w:t xml:space="preserve"> </w:t>
      </w:r>
    </w:p>
    <w:p w:rsidR="00502FDD" w:rsidRPr="00502FDD" w:rsidRDefault="00502FDD" w:rsidP="00502FDD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502FDD">
        <w:rPr>
          <w:rFonts w:ascii="Calibri" w:eastAsia="Calibri" w:hAnsi="Calibri"/>
          <w:sz w:val="28"/>
          <w:szCs w:val="28"/>
          <w:lang w:eastAsia="en-US"/>
        </w:rPr>
        <w:br w:type="page"/>
      </w:r>
      <w:r w:rsidRPr="00502FDD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№ 1</w:t>
      </w:r>
    </w:p>
    <w:p w:rsidR="00502FDD" w:rsidRPr="00502FDD" w:rsidRDefault="00502FDD" w:rsidP="00502FDD">
      <w:pPr>
        <w:jc w:val="right"/>
        <w:rPr>
          <w:rFonts w:eastAsia="Calibri"/>
          <w:sz w:val="28"/>
          <w:szCs w:val="28"/>
          <w:lang w:eastAsia="en-US"/>
        </w:rPr>
      </w:pPr>
      <w:r w:rsidRPr="00502FDD">
        <w:rPr>
          <w:rFonts w:eastAsia="Calibri"/>
          <w:sz w:val="28"/>
          <w:szCs w:val="28"/>
          <w:lang w:eastAsia="en-US"/>
        </w:rPr>
        <w:t xml:space="preserve">к Постановлению администрации </w:t>
      </w:r>
    </w:p>
    <w:p w:rsidR="00502FDD" w:rsidRPr="00502FDD" w:rsidRDefault="00502FDD" w:rsidP="00502FD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Дубровинского </w:t>
      </w:r>
      <w:r w:rsidRPr="00502FDD">
        <w:rPr>
          <w:rFonts w:eastAsia="Calibri"/>
          <w:sz w:val="28"/>
          <w:szCs w:val="28"/>
          <w:lang w:eastAsia="en-US"/>
        </w:rPr>
        <w:t xml:space="preserve">сельсовета </w:t>
      </w:r>
    </w:p>
    <w:p w:rsidR="00502FDD" w:rsidRPr="00502FDD" w:rsidRDefault="00502FDD" w:rsidP="00502FDD">
      <w:pPr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502FDD">
        <w:rPr>
          <w:rFonts w:eastAsia="Calibri"/>
          <w:sz w:val="28"/>
          <w:szCs w:val="28"/>
          <w:lang w:eastAsia="en-US"/>
        </w:rPr>
        <w:t>Мошковского</w:t>
      </w:r>
      <w:proofErr w:type="spellEnd"/>
      <w:r w:rsidRPr="00502FDD">
        <w:rPr>
          <w:rFonts w:eastAsia="Calibri"/>
          <w:sz w:val="28"/>
          <w:szCs w:val="28"/>
          <w:lang w:eastAsia="en-US"/>
        </w:rPr>
        <w:t xml:space="preserve"> района </w:t>
      </w:r>
    </w:p>
    <w:p w:rsidR="00502FDD" w:rsidRPr="00502FDD" w:rsidRDefault="00502FDD" w:rsidP="00502FDD">
      <w:pPr>
        <w:jc w:val="right"/>
        <w:rPr>
          <w:rFonts w:eastAsia="Calibri"/>
          <w:sz w:val="28"/>
          <w:szCs w:val="28"/>
          <w:lang w:eastAsia="en-US"/>
        </w:rPr>
      </w:pPr>
      <w:r w:rsidRPr="00502FDD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502FDD" w:rsidRPr="00502FDD" w:rsidRDefault="00502FDD" w:rsidP="00502FDD">
      <w:pPr>
        <w:jc w:val="right"/>
        <w:rPr>
          <w:rFonts w:eastAsia="Calibri"/>
          <w:sz w:val="28"/>
          <w:szCs w:val="28"/>
          <w:lang w:eastAsia="en-US"/>
        </w:rPr>
      </w:pPr>
      <w:r w:rsidRPr="00502FDD">
        <w:rPr>
          <w:rFonts w:eastAsia="Calibri"/>
          <w:sz w:val="28"/>
          <w:szCs w:val="28"/>
          <w:lang w:eastAsia="en-US"/>
        </w:rPr>
        <w:t xml:space="preserve">от </w:t>
      </w:r>
      <w:r>
        <w:rPr>
          <w:rFonts w:eastAsia="Calibri"/>
          <w:sz w:val="28"/>
          <w:szCs w:val="28"/>
          <w:lang w:eastAsia="en-US"/>
        </w:rPr>
        <w:t>10</w:t>
      </w:r>
      <w:r w:rsidRPr="00502FDD">
        <w:rPr>
          <w:rFonts w:eastAsia="Calibri"/>
          <w:sz w:val="28"/>
          <w:szCs w:val="28"/>
          <w:lang w:eastAsia="en-US"/>
        </w:rPr>
        <w:t xml:space="preserve">.03.2023 № </w:t>
      </w:r>
      <w:r>
        <w:rPr>
          <w:rFonts w:eastAsia="Calibri"/>
          <w:sz w:val="28"/>
          <w:szCs w:val="28"/>
          <w:lang w:eastAsia="en-US"/>
        </w:rPr>
        <w:t>30</w:t>
      </w:r>
    </w:p>
    <w:p w:rsidR="00502FDD" w:rsidRPr="00502FDD" w:rsidRDefault="00502FDD" w:rsidP="00502FDD">
      <w:pPr>
        <w:jc w:val="right"/>
        <w:rPr>
          <w:rFonts w:eastAsia="Calibri"/>
          <w:sz w:val="28"/>
          <w:szCs w:val="28"/>
          <w:lang w:eastAsia="en-US"/>
        </w:rPr>
      </w:pPr>
    </w:p>
    <w:p w:rsidR="00502FDD" w:rsidRPr="00502FDD" w:rsidRDefault="00502FDD" w:rsidP="00502FDD">
      <w:pPr>
        <w:ind w:firstLine="709"/>
        <w:jc w:val="center"/>
        <w:rPr>
          <w:color w:val="000000"/>
          <w:sz w:val="24"/>
          <w:szCs w:val="24"/>
        </w:rPr>
      </w:pPr>
      <w:r w:rsidRPr="00502FDD">
        <w:rPr>
          <w:b/>
          <w:bCs/>
          <w:color w:val="000000"/>
          <w:sz w:val="32"/>
          <w:szCs w:val="32"/>
        </w:rPr>
        <w:t>СХЕМА</w:t>
      </w:r>
    </w:p>
    <w:p w:rsidR="00502FDD" w:rsidRPr="00502FDD" w:rsidRDefault="00502FDD" w:rsidP="00502FDD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>р</w:t>
      </w:r>
      <w:r w:rsidRPr="00502FDD">
        <w:rPr>
          <w:b/>
          <w:bCs/>
          <w:color w:val="000000"/>
          <w:sz w:val="28"/>
          <w:szCs w:val="28"/>
        </w:rPr>
        <w:t>азмещения гаражей</w:t>
      </w:r>
      <w:r w:rsidRPr="00502FDD">
        <w:rPr>
          <w:b/>
          <w:bCs/>
          <w:color w:val="000000"/>
          <w:sz w:val="28"/>
          <w:szCs w:val="28"/>
        </w:rPr>
        <w:t xml:space="preserve">, являющихся некапитальными сооружениями, стоянок технических или других средств передвижения инвалидов вблизи их места жительства, на землях или земельных участках, находящихся в муниципальной собственности администрации Дубровинского сельсовета </w:t>
      </w:r>
      <w:proofErr w:type="spellStart"/>
      <w:r w:rsidRPr="00502FDD">
        <w:rPr>
          <w:b/>
          <w:bCs/>
          <w:color w:val="000000"/>
          <w:sz w:val="28"/>
          <w:szCs w:val="28"/>
        </w:rPr>
        <w:t>Мошковского</w:t>
      </w:r>
      <w:proofErr w:type="spellEnd"/>
      <w:r w:rsidRPr="00502FDD">
        <w:rPr>
          <w:b/>
          <w:bCs/>
          <w:color w:val="000000"/>
          <w:sz w:val="28"/>
          <w:szCs w:val="28"/>
        </w:rPr>
        <w:t xml:space="preserve"> района Новосибирской</w:t>
      </w:r>
    </w:p>
    <w:p w:rsidR="00502FDD" w:rsidRPr="00502FDD" w:rsidRDefault="00502FDD" w:rsidP="00502FDD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6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1152"/>
        <w:gridCol w:w="1152"/>
        <w:gridCol w:w="2042"/>
        <w:gridCol w:w="1603"/>
        <w:gridCol w:w="1397"/>
        <w:gridCol w:w="1751"/>
      </w:tblGrid>
      <w:tr w:rsidR="00502FDD" w:rsidRPr="00502FDD" w:rsidTr="00502FDD">
        <w:trPr>
          <w:trHeight w:val="213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both"/>
            </w:pPr>
            <w:r w:rsidRPr="00502FDD">
              <w:t>№ п/п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both"/>
            </w:pPr>
            <w:r w:rsidRPr="00502FDD">
              <w:t>Вид объекта*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both"/>
            </w:pPr>
            <w:r w:rsidRPr="00502FDD">
              <w:t>Номер объекта*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both"/>
            </w:pPr>
            <w:r w:rsidRPr="00502FDD">
              <w:t>Местоположение (адресный ориентир) земельного участка для размещения объекта*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both"/>
            </w:pPr>
            <w:r w:rsidRPr="00502FDD">
              <w:t>Кадастровый номер земельного участка или номер кадастрового квартала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both"/>
            </w:pPr>
            <w:r w:rsidRPr="00502FDD">
              <w:t>Площадь земельного участка,</w:t>
            </w:r>
          </w:p>
          <w:p w:rsidR="00502FDD" w:rsidRPr="00502FDD" w:rsidRDefault="00502FDD" w:rsidP="00502FDD">
            <w:pPr>
              <w:jc w:val="both"/>
            </w:pPr>
            <w:r w:rsidRPr="00502FDD">
              <w:t>кв. м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both"/>
            </w:pPr>
            <w:r w:rsidRPr="00502FDD">
              <w:t>Форма собственности на земельный участок</w:t>
            </w:r>
          </w:p>
        </w:tc>
      </w:tr>
      <w:tr w:rsidR="00502FDD" w:rsidRPr="00502FDD" w:rsidTr="00502FDD">
        <w:trPr>
          <w:trHeight w:val="297"/>
        </w:trPr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both"/>
              <w:rPr>
                <w:sz w:val="28"/>
                <w:szCs w:val="28"/>
              </w:rPr>
            </w:pPr>
            <w:r w:rsidRPr="00502FDD">
              <w:rPr>
                <w:sz w:val="28"/>
                <w:szCs w:val="28"/>
              </w:rPr>
              <w:t>1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center"/>
              <w:rPr>
                <w:sz w:val="28"/>
                <w:szCs w:val="28"/>
              </w:rPr>
            </w:pPr>
            <w:r w:rsidRPr="00502FDD">
              <w:rPr>
                <w:sz w:val="28"/>
                <w:szCs w:val="28"/>
              </w:rPr>
              <w:t>–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center"/>
              <w:rPr>
                <w:sz w:val="28"/>
                <w:szCs w:val="28"/>
              </w:rPr>
            </w:pPr>
            <w:r w:rsidRPr="00502FDD">
              <w:rPr>
                <w:sz w:val="28"/>
                <w:szCs w:val="28"/>
              </w:rPr>
              <w:t>–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center"/>
              <w:rPr>
                <w:sz w:val="28"/>
                <w:szCs w:val="28"/>
              </w:rPr>
            </w:pPr>
            <w:r w:rsidRPr="00502FDD">
              <w:rPr>
                <w:sz w:val="28"/>
                <w:szCs w:val="28"/>
              </w:rPr>
              <w:t>–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center"/>
              <w:rPr>
                <w:sz w:val="28"/>
                <w:szCs w:val="28"/>
              </w:rPr>
            </w:pPr>
            <w:r w:rsidRPr="00502FDD">
              <w:rPr>
                <w:sz w:val="28"/>
                <w:szCs w:val="28"/>
              </w:rPr>
              <w:t>–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center"/>
              <w:rPr>
                <w:sz w:val="28"/>
                <w:szCs w:val="28"/>
              </w:rPr>
            </w:pPr>
            <w:r w:rsidRPr="00502FDD">
              <w:rPr>
                <w:sz w:val="28"/>
                <w:szCs w:val="28"/>
              </w:rPr>
              <w:t>–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FDD" w:rsidRPr="00502FDD" w:rsidRDefault="00502FDD" w:rsidP="00502FDD">
            <w:pPr>
              <w:jc w:val="center"/>
              <w:rPr>
                <w:sz w:val="28"/>
                <w:szCs w:val="28"/>
              </w:rPr>
            </w:pPr>
            <w:r w:rsidRPr="00502FDD">
              <w:rPr>
                <w:sz w:val="28"/>
                <w:szCs w:val="28"/>
              </w:rPr>
              <w:t>–</w:t>
            </w:r>
          </w:p>
        </w:tc>
      </w:tr>
    </w:tbl>
    <w:p w:rsidR="00502FDD" w:rsidRPr="00502FDD" w:rsidRDefault="00502FDD" w:rsidP="00502FDD">
      <w:pPr>
        <w:ind w:firstLine="851"/>
        <w:jc w:val="both"/>
        <w:rPr>
          <w:color w:val="000000"/>
          <w:sz w:val="28"/>
          <w:szCs w:val="28"/>
        </w:rPr>
      </w:pPr>
    </w:p>
    <w:p w:rsidR="009214C2" w:rsidRPr="00502FDD" w:rsidRDefault="009214C2" w:rsidP="00502FDD"/>
    <w:sectPr w:rsidR="009214C2" w:rsidRPr="00502FDD" w:rsidSect="001856F5">
      <w:headerReference w:type="default" r:id="rId4"/>
      <w:footerReference w:type="default" r:id="rId5"/>
      <w:pgSz w:w="11906" w:h="16838"/>
      <w:pgMar w:top="1134" w:right="850" w:bottom="1134" w:left="1701" w:header="454" w:footer="454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CA" w:rsidRDefault="00502FDD" w:rsidP="00905116">
    <w:pPr>
      <w:pStyle w:val="a5"/>
      <w:ind w:right="360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CA" w:rsidRPr="004B420C" w:rsidRDefault="00502FDD" w:rsidP="001F558F">
    <w:pPr>
      <w:pStyle w:val="a3"/>
      <w:tabs>
        <w:tab w:val="clear" w:pos="4677"/>
      </w:tabs>
      <w:ind w:left="5103"/>
      <w:rPr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03"/>
    <w:rsid w:val="00242A5B"/>
    <w:rsid w:val="00502FDD"/>
    <w:rsid w:val="006E2C03"/>
    <w:rsid w:val="009214C2"/>
    <w:rsid w:val="00A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2A51"/>
  <w15:chartTrackingRefBased/>
  <w15:docId w15:val="{5C9B531B-578B-4ECB-A803-E6E19AF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502FD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3"/>
    <w:uiPriority w:val="99"/>
    <w:rsid w:val="00502F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502FDD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502F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Subtle Emphasis"/>
    <w:basedOn w:val="a0"/>
    <w:uiPriority w:val="19"/>
    <w:qFormat/>
    <w:rsid w:val="00502FDD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502F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F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2023-03-10T07:25:00Z</cp:lastPrinted>
  <dcterms:created xsi:type="dcterms:W3CDTF">2023-03-09T07:36:00Z</dcterms:created>
  <dcterms:modified xsi:type="dcterms:W3CDTF">2023-03-10T07:28:00Z</dcterms:modified>
</cp:coreProperties>
</file>