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BE" w:rsidRPr="00487DBE" w:rsidRDefault="00487DBE" w:rsidP="00487D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7DBE"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 ДУБРОВИНСКОГО СЕЛЬСОВЕТА</w:t>
      </w:r>
    </w:p>
    <w:p w:rsidR="00487DBE" w:rsidRPr="00487DBE" w:rsidRDefault="00487DBE" w:rsidP="00487D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7DBE">
        <w:rPr>
          <w:rFonts w:ascii="Times New Roman" w:hAnsi="Times New Roman"/>
          <w:b/>
          <w:bCs/>
          <w:sz w:val="28"/>
          <w:szCs w:val="28"/>
          <w:lang w:val="ru-RU"/>
        </w:rPr>
        <w:t>МОШКОВСКОГО РАЙОНА НОВОСИБИРСКОЙ ОБЛАСТИ</w:t>
      </w:r>
    </w:p>
    <w:p w:rsidR="00487DBE" w:rsidRPr="00487DBE" w:rsidRDefault="00487DBE" w:rsidP="00487DB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7DBE">
        <w:rPr>
          <w:rFonts w:ascii="Times New Roman" w:hAnsi="Times New Roman"/>
          <w:b/>
          <w:bCs/>
          <w:sz w:val="28"/>
          <w:szCs w:val="28"/>
          <w:lang w:val="ru-RU"/>
        </w:rPr>
        <w:t>ПЯТОГО СОЗЫВА</w:t>
      </w:r>
    </w:p>
    <w:p w:rsidR="00487DBE" w:rsidRPr="00487DBE" w:rsidRDefault="00487DBE" w:rsidP="00487DB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487DBE" w:rsidRPr="00487DBE" w:rsidRDefault="00487DBE" w:rsidP="00487DB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87DBE">
        <w:rPr>
          <w:rFonts w:ascii="Times New Roman" w:hAnsi="Times New Roman"/>
          <w:bCs/>
          <w:sz w:val="28"/>
          <w:szCs w:val="28"/>
          <w:lang w:val="ru-RU"/>
        </w:rPr>
        <w:t xml:space="preserve">РЕШЕНИЕ </w:t>
      </w:r>
    </w:p>
    <w:p w:rsidR="00487DBE" w:rsidRPr="00487DBE" w:rsidRDefault="00487DBE" w:rsidP="00487DB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87DBE">
        <w:rPr>
          <w:rFonts w:ascii="Times New Roman" w:hAnsi="Times New Roman"/>
          <w:bCs/>
          <w:sz w:val="28"/>
          <w:szCs w:val="28"/>
          <w:lang w:val="ru-RU"/>
        </w:rPr>
        <w:t>Двадцать седьмой сессии</w:t>
      </w:r>
    </w:p>
    <w:p w:rsidR="00487DBE" w:rsidRPr="00487DBE" w:rsidRDefault="00487DBE" w:rsidP="00487DB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от 15.09.2017 № 137</w:t>
      </w:r>
    </w:p>
    <w:p w:rsidR="00487DBE" w:rsidRPr="00487DBE" w:rsidRDefault="00487DBE" w:rsidP="00487DB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87DBE" w:rsidRPr="00487DBE" w:rsidRDefault="00487DBE" w:rsidP="00487DB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bookmarkStart w:id="0" w:name="_GoBack"/>
      <w:r w:rsidRPr="00487DBE">
        <w:rPr>
          <w:rFonts w:ascii="Times New Roman" w:hAnsi="Times New Roman"/>
          <w:b/>
          <w:sz w:val="28"/>
          <w:szCs w:val="28"/>
          <w:lang w:val="ru-RU" w:eastAsia="ru-RU"/>
        </w:rPr>
        <w:t>О передаче Ревизионной комиссии Мошковского района Новосибирской области полномочий</w:t>
      </w:r>
      <w:r w:rsidRPr="00487DBE">
        <w:rPr>
          <w:rFonts w:ascii="Times New Roman" w:hAnsi="Times New Roman"/>
          <w:b/>
          <w:color w:val="00B050"/>
          <w:sz w:val="28"/>
          <w:szCs w:val="28"/>
          <w:lang w:val="ru-RU" w:eastAsia="ru-RU"/>
        </w:rPr>
        <w:t xml:space="preserve"> </w:t>
      </w:r>
      <w:r w:rsidRPr="00487DB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контрольно-счетного органа Дубровинского сельсовета Мошковского района Новосибирской области по осуществлению внешнего муниципального финансового контроля</w:t>
      </w:r>
    </w:p>
    <w:bookmarkEnd w:id="0"/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 xml:space="preserve">Руководствуясь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87DBE">
        <w:rPr>
          <w:rFonts w:ascii="Times New Roman" w:hAnsi="Times New Roman"/>
          <w:color w:val="000000"/>
          <w:sz w:val="28"/>
          <w:szCs w:val="28"/>
          <w:lang w:val="ru-RU"/>
        </w:rPr>
        <w:t>пунктом 4 статьи 2</w:t>
      </w:r>
      <w:r w:rsidRPr="00487DBE">
        <w:rPr>
          <w:rFonts w:ascii="Times New Roman" w:hAnsi="Times New Roman"/>
          <w:color w:val="00B050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  <w:lang w:val="ru-RU"/>
        </w:rPr>
        <w:t>Устава Дубровинского сельсовета Мошковского района Новосибирской области   Совет депутатов Дубровинского сельсовета Мошковского района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 РЕШИЛ: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Заключить с Советом депутатов Мошковского района Новосибирской области соглашение о передаче Ревизионной комиссии Мошковского района Новосибирской области полномочий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контрольно-счетного органа Дубровинского сельсовета Мошковского района Новосибирской области</w:t>
      </w:r>
      <w:r w:rsidRPr="00487DBE">
        <w:rPr>
          <w:rFonts w:ascii="Times New Roman" w:hAnsi="Times New Roman"/>
          <w:color w:val="00B050"/>
          <w:sz w:val="28"/>
          <w:szCs w:val="28"/>
          <w:lang w:val="ru-RU" w:eastAsia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>по осуществлению внешнего муниципального финансового контроля. (Приложение)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Установить, что должностные лица Ревизионной комиссии Мошковского района Новосибирской области при осуществлении полномочий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контрольно-счетного органа Дубровинского сельсовета Мошковского района Новосибирской области</w:t>
      </w:r>
      <w:r w:rsidRPr="00487DBE">
        <w:rPr>
          <w:rFonts w:ascii="Times New Roman" w:hAnsi="Times New Roman"/>
          <w:color w:val="00B050"/>
          <w:sz w:val="28"/>
          <w:szCs w:val="28"/>
          <w:lang w:val="ru-RU" w:eastAsia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по осуществлению внешнего муниципального финансового контроля обладают правами должностных лиц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контрольно-счетного органа Дубровинского сельсовета Мошковского района Новосибирской области</w:t>
      </w:r>
      <w:r w:rsidRPr="00487DBE">
        <w:rPr>
          <w:rFonts w:ascii="Times New Roman" w:hAnsi="Times New Roman"/>
          <w:color w:val="00B050"/>
          <w:sz w:val="28"/>
          <w:szCs w:val="28"/>
          <w:lang w:val="ru-RU" w:eastAsia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по осуществлению внешнего муниципального финансового контроля, установленными федеральными законами, законами Новосибирской области, уставом и иными муниципальными правовыми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актами Дубровинского сельсовета Мошковского</w:t>
      </w:r>
      <w:proofErr w:type="gramEnd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района Новосибирской области.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Установить, что администрация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Дубровинского сельсовета Мошковского района Новосибирской области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 перечисляет в бюджет Мошковского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>Настоящее Решение вступает в силу с момента его подписания.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lastRenderedPageBreak/>
        <w:t>5.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Направить настоящее Решение главе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Дубровинского сельсовета Мошковского района Новосибирской области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 для подписания и обнародования.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487DBE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487DBE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возложить на председателя Совета депутатов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Дубровинского сельсовета Мошковского района Новосибирской области пятого созыва</w:t>
      </w: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                 О.С.Шумкин </w:t>
      </w: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487DBE" w:rsidRPr="00487DBE" w:rsidRDefault="00487DBE" w:rsidP="00487D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                               И.Э. Барц</w:t>
      </w: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487DBE" w:rsidRPr="00487DBE" w:rsidRDefault="00487DBE" w:rsidP="00487DBE">
      <w:pPr>
        <w:ind w:left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к решению двадцать седьмой сессии пятого созыва Совета депутатов Дубровинского сельсовета Мошковского района Новосибирской области</w:t>
      </w:r>
    </w:p>
    <w:p w:rsidR="00487DBE" w:rsidRPr="00487DBE" w:rsidRDefault="00487DBE" w:rsidP="00487DBE">
      <w:pPr>
        <w:ind w:left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от 15. 09.2017 г. № 137</w:t>
      </w: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sz w:val="28"/>
          <w:szCs w:val="28"/>
          <w:lang w:val="ru-RU" w:eastAsia="ru-RU"/>
        </w:rPr>
        <w:t>СОГЛАШЕНИЕ</w:t>
      </w:r>
    </w:p>
    <w:p w:rsidR="00487DBE" w:rsidRPr="00487DBE" w:rsidRDefault="00487DBE" w:rsidP="00487DB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 передаче Ревизионной комиссии Мошковского района Новосибирской области полномочий  контрольно-счетного органа Дубровинского сельсовета Мошковского района Новосибирской области 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>по осуществлению внешнего муниципального финансового контроля</w:t>
      </w:r>
    </w:p>
    <w:p w:rsidR="00487DBE" w:rsidRPr="00487DBE" w:rsidRDefault="00487DBE" w:rsidP="00487DBE">
      <w:pPr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tabs>
          <w:tab w:val="right" w:pos="9923"/>
        </w:tabs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 w:eastAsia="ru-RU"/>
        </w:rPr>
        <w:t>р.п</w:t>
      </w:r>
      <w:proofErr w:type="gramStart"/>
      <w:r w:rsidRPr="00487DBE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gramEnd"/>
      <w:r w:rsidRPr="00487DBE">
        <w:rPr>
          <w:rFonts w:ascii="Times New Roman" w:hAnsi="Times New Roman"/>
          <w:sz w:val="28"/>
          <w:szCs w:val="28"/>
          <w:lang w:val="ru-RU" w:eastAsia="ru-RU"/>
        </w:rPr>
        <w:t>ошково</w:t>
      </w:r>
      <w:proofErr w:type="spellEnd"/>
      <w:r w:rsidRPr="00487DBE">
        <w:rPr>
          <w:rFonts w:ascii="Times New Roman" w:hAnsi="Times New Roman"/>
          <w:sz w:val="28"/>
          <w:szCs w:val="28"/>
          <w:lang w:val="ru-RU" w:eastAsia="ru-RU"/>
        </w:rPr>
        <w:tab/>
        <w:t>«____» ____________ 2017</w:t>
      </w:r>
      <w:r w:rsidRPr="00487DBE">
        <w:rPr>
          <w:rFonts w:ascii="Times New Roman" w:hAnsi="Times New Roman"/>
          <w:sz w:val="28"/>
          <w:szCs w:val="28"/>
          <w:lang w:eastAsia="ru-RU"/>
        </w:rPr>
        <w:t> </w:t>
      </w:r>
      <w:r w:rsidRPr="00487DBE">
        <w:rPr>
          <w:rFonts w:ascii="Times New Roman" w:hAnsi="Times New Roman"/>
          <w:sz w:val="28"/>
          <w:szCs w:val="28"/>
          <w:lang w:val="ru-RU" w:eastAsia="ru-RU"/>
        </w:rPr>
        <w:t>г.</w:t>
      </w:r>
    </w:p>
    <w:p w:rsidR="00487DBE" w:rsidRPr="00487DBE" w:rsidRDefault="00487DBE" w:rsidP="00487DBE">
      <w:pPr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Совет депутатов Дубровинского сельсовета Мошковского района Новосибирской области (далее – Совет депутатов поселения) в лице председателя Барц Ирины </w:t>
      </w:r>
      <w:proofErr w:type="spellStart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Эльмаровны</w:t>
      </w:r>
      <w:proofErr w:type="spellEnd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действующего на основании Устава Дубровинского сельсовета Мошковского района Новосибирской области и Решения </w:t>
      </w:r>
      <w:proofErr w:type="spellStart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двадц</w:t>
      </w:r>
      <w:proofErr w:type="spellEnd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Совета депутатов Дубровинского сельсовета Мошковского района Новосибирской области пятого созыва от 15.09.2017 № 137, с одной стороны, Совет депутатов Мошковского района Новосибирской области (далее – Совет депутатов района) в лице председателя</w:t>
      </w:r>
      <w:proofErr w:type="gramEnd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Нарушевича</w:t>
      </w:r>
      <w:proofErr w:type="spellEnd"/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Александра Николаевича  и Ревизионной комиссии Мошковского района Новосибирской области (далее – контрольно-счетный орган района) в лице председателя Петровой Светланы Александровны, действующих на основании Устава Мошковского района Новосибирской области и Решения Совета депутатов Мошковского района Новосибирской области от 10 ноября 2011г. № 59, с другой стороны, заключили настоящее Соглашение о следующем:</w:t>
      </w:r>
    </w:p>
    <w:p w:rsidR="00487DBE" w:rsidRPr="00487DBE" w:rsidRDefault="00487DBE" w:rsidP="00487DBE">
      <w:pPr>
        <w:keepNext/>
        <w:spacing w:before="120"/>
        <w:ind w:firstLine="851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b/>
          <w:bCs/>
          <w:kern w:val="32"/>
          <w:sz w:val="28"/>
          <w:szCs w:val="28"/>
          <w:lang w:val="ru-RU" w:eastAsia="ru-RU"/>
        </w:rPr>
        <w:t>Предмет Соглашения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487DBE" w:rsidRPr="00487DBE" w:rsidRDefault="00487DBE" w:rsidP="00487DBE">
      <w:pPr>
        <w:numPr>
          <w:ilvl w:val="2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внешняя проверка годового отчета об исполнении бюджета поселения;</w:t>
      </w:r>
    </w:p>
    <w:p w:rsidR="00487DBE" w:rsidRPr="00487DBE" w:rsidRDefault="00487DBE" w:rsidP="00487DBE">
      <w:pPr>
        <w:numPr>
          <w:ilvl w:val="2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экспертиза проекта бюджета поселения;</w:t>
      </w:r>
    </w:p>
    <w:p w:rsidR="00487DBE" w:rsidRPr="00487DBE" w:rsidRDefault="00487DBE" w:rsidP="00487DBE">
      <w:pPr>
        <w:numPr>
          <w:ilvl w:val="2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487DBE" w:rsidRPr="00487DBE" w:rsidRDefault="00487DBE" w:rsidP="00487DBE">
      <w:pPr>
        <w:keepNext/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Срок действия Соглашения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Соглашение заключено на срок 6 лет и действует в период с 1 января 2018г. по 31 декабря 2023г.</w:t>
      </w:r>
    </w:p>
    <w:p w:rsidR="00487DBE" w:rsidRPr="00487DBE" w:rsidRDefault="00487DBE" w:rsidP="00487DBE">
      <w:pPr>
        <w:numPr>
          <w:ilvl w:val="1"/>
          <w:numId w:val="0"/>
        </w:numPr>
        <w:shd w:val="clear" w:color="auto" w:fill="FFFFFF"/>
        <w:spacing w:after="1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487DBE">
        <w:rPr>
          <w:rFonts w:ascii="Times New Roman" w:hAnsi="Times New Roman"/>
          <w:b/>
          <w:sz w:val="28"/>
          <w:szCs w:val="28"/>
          <w:lang w:val="ru-RU"/>
        </w:rPr>
        <w:t>Порядок определения и предоставления ежегодного объема межбюджетных трансфертов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3.1. Объем межбюджетных трансфертов на очередной год, предоставляемых из бюджета поселения в бюджет муниципального района </w:t>
      </w: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на осуществление полномочий, предусмотренных настоящим Соглашением, определяется как произведение следующих множителей: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>=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Рст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487DBE">
        <w:rPr>
          <w:rFonts w:ascii="Times New Roman" w:hAnsi="Times New Roman"/>
          <w:sz w:val="28"/>
          <w:szCs w:val="28"/>
        </w:rPr>
        <w:t>I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р*</w:t>
      </w:r>
      <w:r w:rsidRPr="00487DBE">
        <w:rPr>
          <w:rFonts w:ascii="Times New Roman" w:hAnsi="Times New Roman"/>
          <w:sz w:val="28"/>
          <w:szCs w:val="28"/>
        </w:rPr>
        <w:t>Ki</w:t>
      </w:r>
      <w:r w:rsidRPr="00487DBE">
        <w:rPr>
          <w:rFonts w:ascii="Times New Roman" w:hAnsi="Times New Roman"/>
          <w:sz w:val="28"/>
          <w:szCs w:val="28"/>
          <w:lang w:val="ru-RU"/>
        </w:rPr>
        <w:t>*</w:t>
      </w:r>
      <w:proofErr w:type="spellStart"/>
      <w:r w:rsidRPr="00487DBE">
        <w:rPr>
          <w:rFonts w:ascii="Times New Roman" w:hAnsi="Times New Roman"/>
          <w:sz w:val="28"/>
          <w:szCs w:val="28"/>
        </w:rPr>
        <w:t>Ko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, где 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- расчетный объем межбюджетных трансфертов, тыс.руб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3.1.1) стандартные расходы на оплату труда;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3.1.2) индекс роста оплаты труда;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3.1.3) коэффициент иных затрат;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3.1.4) коэффициент объема работ.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3.2. Стандартные расходы на оплату труда устанавливаются в размере 769,0 </w:t>
      </w:r>
      <w:proofErr w:type="spellStart"/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тыс</w:t>
      </w:r>
      <w:proofErr w:type="spellEnd"/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руб. и определены исходя из размера годового фонда оплаты труда с начислениями работников контрольно-счетного органа района, осуществляющих предусмотренные настоящим Соглашением полномочия, и доли их рабочего времени, затраченного на осуществление указанных полномочий.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Рст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- стандартные расходы на оплату труда 2016 года, тыс. руб.,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Рст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= сумма/</w:t>
      </w:r>
      <w:r w:rsidRPr="00487DBE">
        <w:rPr>
          <w:rFonts w:ascii="Times New Roman" w:hAnsi="Times New Roman"/>
          <w:sz w:val="28"/>
          <w:szCs w:val="28"/>
        </w:rPr>
        <w:t>N</w:t>
      </w:r>
      <w:r w:rsidRPr="00487DBE">
        <w:rPr>
          <w:rFonts w:ascii="Times New Roman" w:hAnsi="Times New Roman"/>
          <w:sz w:val="28"/>
          <w:szCs w:val="28"/>
          <w:lang w:val="ru-RU"/>
        </w:rPr>
        <w:t>, где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hAnsi="Times New Roman"/>
          <w:sz w:val="28"/>
          <w:szCs w:val="28"/>
        </w:rPr>
        <w:t>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 -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кол-во поселений, передавших полномочия КСО района.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3.3. Индекс роста оплаты труда равен темпу роста должностных окладов муниципальных служащих муниципального района в очередной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I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р - индекс роста оплаты труда, состоит из произведения индексов повышений заработной платы за период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после  2016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3.4. Коэффициент иных затрат устанавливается равным [1,25].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</w:rPr>
        <w:t>Ki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- коэффициент иных затрат =1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,25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3.5. Коэффициент объема работ равен среднему арифметическому из коэффициентов численности населения и объема расходов: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487DBE"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- коэффициент объёма работ: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487DBE">
        <w:rPr>
          <w:rFonts w:ascii="Times New Roman" w:hAnsi="Times New Roman"/>
          <w:sz w:val="28"/>
          <w:szCs w:val="28"/>
        </w:rPr>
        <w:t>Ko</w:t>
      </w:r>
      <w:proofErr w:type="spellEnd"/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= (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Кч+Кор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>)/2, где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3.5.1)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Кч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– коэффициент численности населения,</w:t>
      </w:r>
    </w:p>
    <w:p w:rsidR="00487DBE" w:rsidRPr="00487DBE" w:rsidRDefault="00487DBE" w:rsidP="00487DB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Кч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ru-RU"/>
              </w:rPr>
              <m:t>численность населения поселения,   чел.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ru-RU"/>
              </w:rPr>
              <m:t>средняя численность населения поселений  района передавших полномочия,   чел.</m:t>
            </m:r>
          </m:den>
        </m:f>
      </m:oMath>
      <w:r w:rsidRPr="00487DBE">
        <w:rPr>
          <w:rFonts w:ascii="Times New Roman" w:hAnsi="Times New Roman"/>
          <w:sz w:val="28"/>
          <w:szCs w:val="28"/>
          <w:lang w:val="ru-RU"/>
        </w:rPr>
        <w:t>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3.5.2)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района, передавших полномочия, в последнем отчетном году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Кор – коэффициент объема расходов,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Кор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ru-RU"/>
              </w:rPr>
              <m:t>объем расходов бюджета поселения,   тыс.руб.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ru-RU"/>
              </w:rPr>
              <m:t>средний объем расходов бюджетов поселений района передавших полномочия,  тыс.руб.</m:t>
            </m:r>
          </m:den>
        </m:f>
        <m:r>
          <w:rPr>
            <w:rFonts w:ascii="Cambria Math" w:eastAsia="Calibri" w:hAnsi="Cambria Math"/>
            <w:sz w:val="28"/>
            <w:szCs w:val="28"/>
            <w:lang w:val="ru-RU"/>
          </w:rPr>
          <m:t>.</m:t>
        </m:r>
      </m:oMath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 xml:space="preserve">3.6.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Совета депутатов поселения и администрации поселения не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чем за 2 месяца до начала очередного года.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3.7. </w:t>
      </w: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Объем межбюджетных трансфертов согласно приложенного расчета по годам, являющегося неотъемлемой частью соглашения, не может  быть  менее минимальной суммы в год, которая </w:t>
      </w: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равнане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менее 0,15 ФОТ с налогами предусмотренного для муниципальной должности председателя КСО поселения с численностью населения до 5 </w:t>
      </w: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тыс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.ч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ел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., по данным на 01.01.2018г.на первый год действия Соглашения равной  59,5тыс.руб., умноженный на индексы роста оплаты труда,  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согласно пункта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3.3 соглашения.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Минимальный размер объема межбюджетных трансфертов рассчитывается по формуле:</w:t>
      </w:r>
    </w:p>
    <w:p w:rsidR="00487DBE" w:rsidRPr="00487DBE" w:rsidRDefault="00487DBE" w:rsidP="00487DB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= Сумма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* </w:t>
      </w:r>
      <w:proofErr w:type="gramStart"/>
      <w:r w:rsidRPr="00487DBE">
        <w:rPr>
          <w:rFonts w:ascii="Times New Roman" w:hAnsi="Times New Roman"/>
          <w:sz w:val="28"/>
          <w:szCs w:val="28"/>
        </w:rPr>
        <w:t>I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р, где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- минимальный размер межбюджетных трансфертов, тыс.руб.,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Сумма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-сумма минимального платежа в первый год заключенного соглашения;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</w:rPr>
        <w:t>I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р - индекс роста оплаты труда, состоит из произведения индексов повышений заработной платы за период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после  2016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года,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Если расчетный объем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DBE">
        <w:rPr>
          <w:rFonts w:ascii="Cambria Math" w:hAnsi="Cambria Math" w:cs="Cambria Math"/>
          <w:sz w:val="28"/>
          <w:szCs w:val="28"/>
          <w:lang w:val="ru-RU"/>
        </w:rPr>
        <w:t>˂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, то используем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>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В случае если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DBE">
        <w:rPr>
          <w:rFonts w:ascii="Cambria Math" w:hAnsi="Cambria Math" w:cs="Cambria Math"/>
          <w:sz w:val="28"/>
          <w:szCs w:val="28"/>
          <w:lang w:val="ru-RU"/>
        </w:rPr>
        <w:t>˃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, то применяем понижающий коэффициент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К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к сумме превышающей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, 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К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>=(</w:t>
      </w:r>
      <w:r w:rsidRPr="00487DBE">
        <w:rPr>
          <w:rFonts w:ascii="Times New Roman" w:eastAsia="Calibri" w:hAnsi="Times New Roman"/>
          <w:sz w:val="28"/>
          <w:szCs w:val="28"/>
          <w:lang w:val="ru-RU"/>
        </w:rPr>
        <w:t>∑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proofErr w:type="spellEnd"/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>*</w:t>
      </w:r>
      <w:r w:rsidRPr="00487DBE">
        <w:rPr>
          <w:rFonts w:ascii="Times New Roman" w:hAnsi="Times New Roman"/>
          <w:sz w:val="28"/>
          <w:szCs w:val="28"/>
        </w:rPr>
        <w:t>N</w:t>
      </w:r>
      <w:r w:rsidRPr="00487DBE">
        <w:rPr>
          <w:rFonts w:ascii="Times New Roman" w:hAnsi="Times New Roman"/>
          <w:sz w:val="28"/>
          <w:szCs w:val="28"/>
          <w:lang w:val="ru-RU"/>
        </w:rPr>
        <w:t>)/(∑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и</w:t>
      </w:r>
      <w:proofErr w:type="spellEnd"/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* </w:t>
      </w:r>
      <w:r w:rsidRPr="00487DBE">
        <w:rPr>
          <w:rFonts w:ascii="Times New Roman" w:hAnsi="Times New Roman"/>
          <w:sz w:val="28"/>
          <w:szCs w:val="28"/>
        </w:rPr>
        <w:t>N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и</w:t>
      </w:r>
      <w:r w:rsidRPr="00487DBE">
        <w:rPr>
          <w:rFonts w:ascii="Times New Roman" w:hAnsi="Times New Roman"/>
          <w:sz w:val="28"/>
          <w:szCs w:val="28"/>
          <w:lang w:val="ru-RU"/>
        </w:rPr>
        <w:t>), где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К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  <w:lang w:val="ru-RU"/>
        </w:rPr>
        <w:t>-  понижающий коэффициент,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∑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сумма </w:t>
      </w:r>
      <w:r w:rsidRPr="00487DBE">
        <w:rPr>
          <w:rFonts w:ascii="Times New Roman" w:hAnsi="Times New Roman"/>
          <w:sz w:val="28"/>
          <w:szCs w:val="28"/>
          <w:lang w:val="ru-RU"/>
        </w:rPr>
        <w:t>расчетных объемов межбюджетных трансфертов всех поселений передавших полномочия, тыс.руб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,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∑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и</w:t>
      </w:r>
      <w:proofErr w:type="spellEnd"/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87DBE">
        <w:rPr>
          <w:rFonts w:ascii="Times New Roman" w:hAnsi="Times New Roman"/>
          <w:sz w:val="28"/>
          <w:szCs w:val="28"/>
          <w:lang w:val="ru-RU"/>
        </w:rPr>
        <w:t>–</w:t>
      </w: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сумма  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расчетных объемов межбюджетных трансфертов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поселений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у которых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DBE">
        <w:rPr>
          <w:rFonts w:ascii="Cambria Math" w:hAnsi="Cambria Math" w:cs="Cambria Math"/>
          <w:sz w:val="28"/>
          <w:szCs w:val="28"/>
          <w:lang w:val="ru-RU"/>
        </w:rPr>
        <w:t>˃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r w:rsidRPr="00487DBE">
        <w:rPr>
          <w:rFonts w:ascii="Times New Roman" w:hAnsi="Times New Roman"/>
          <w:sz w:val="28"/>
          <w:szCs w:val="28"/>
          <w:lang w:val="ru-RU"/>
        </w:rPr>
        <w:t>, тыс.руб.,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</w:rPr>
        <w:t>N</w:t>
      </w:r>
      <w:r w:rsidRPr="00487DBE">
        <w:rPr>
          <w:rFonts w:ascii="Times New Roman" w:hAnsi="Times New Roman"/>
          <w:sz w:val="28"/>
          <w:szCs w:val="28"/>
          <w:vertAlign w:val="subscript"/>
          <w:lang w:val="ru-RU"/>
        </w:rPr>
        <w:t>и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- кол-во поселений, передавших полномочия КСО района, у которых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DBE">
        <w:rPr>
          <w:rFonts w:ascii="Cambria Math" w:hAnsi="Cambria Math" w:cs="Cambria Math"/>
          <w:sz w:val="28"/>
          <w:szCs w:val="28"/>
          <w:lang w:val="ru-RU"/>
        </w:rPr>
        <w:t>˃</w:t>
      </w:r>
      <w:r w:rsidRPr="00487D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Омт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87DBE">
        <w:rPr>
          <w:rFonts w:ascii="Times New Roman" w:hAnsi="Times New Roman"/>
          <w:sz w:val="28"/>
          <w:szCs w:val="28"/>
        </w:rPr>
        <w:t>min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.</w:t>
      </w:r>
      <w:r w:rsidRPr="00487DBE">
        <w:rPr>
          <w:rFonts w:ascii="Times New Roman" w:eastAsia="Calibri" w:hAnsi="Times New Roman"/>
          <w:sz w:val="28"/>
          <w:szCs w:val="28"/>
          <w:lang w:val="ru-RU"/>
        </w:rPr>
        <w:t>»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Минимальный размер объема межбюджетных трансфертов действует в бюджетных отношениях с 2017 года.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3.8.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3.9. Ежегодный объем межбюджетных трансфертов перечисляется [двумя частями в сроки до 1 апреля (не менее 2/3 годового объема межбюджетных трансфертов) и до 1 сентября (оставшаяся 1/3 часть межбюджетных трансфертов)]. Дополнительный объем межбюджетных трансфертов перечисляется в сроки, установленные дополнительным соглашением.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[0020401 «Осуществление переданных полномочий контрольно-счетных органов поселений»].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3.11. Межбюджетные трансферты зачисляются в бюджет муниципального 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3.12. Реквизиты для перечисления межбюджетных трансфертов: 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b/>
          <w:i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b/>
          <w:i/>
          <w:sz w:val="28"/>
          <w:szCs w:val="28"/>
          <w:lang w:val="ru-RU"/>
        </w:rPr>
        <w:t>Получатель: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Наименование организации:  администрация Мошковского района;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Адрес: 633131, Новосибирская обл., </w:t>
      </w: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р.п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.М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ошково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>, ул., Советская, д.9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Банковские реквизиты: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УФК по Новосибирской области (администрация Мошковского района 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л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/с04513032330);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ИНН: 5432211449; КПП: 543201001;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ОКТМО: 50638151;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р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/с: 40101810900000010001;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Банк получателя: 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СИБИРСКОЕ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ГУ Банка России 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г. Новосибирск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БИК – 045004001;.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b/>
          <w:i/>
          <w:sz w:val="28"/>
          <w:szCs w:val="28"/>
          <w:lang w:val="ru-RU"/>
        </w:rPr>
        <w:t>Плательщик: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Наименование организации: администрация Дубровинского сельсовета Мошковского района Новосибирской области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Адрес: 633146, Новосибирская обл., Мошковский р-он </w:t>
      </w: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с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.Д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убровино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>,  ул., Советская, д.25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Банковские реквизиты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УФК по Новосибирской области (администрация Дубровинского       сельсовета Мошковского района Новосибирской области 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л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>/с 818010041);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ИНН: 5432100308; КПП: 543201001;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487DBE">
        <w:rPr>
          <w:rFonts w:ascii="Times New Roman" w:eastAsia="Calibri" w:hAnsi="Times New Roman"/>
          <w:sz w:val="28"/>
          <w:szCs w:val="28"/>
          <w:lang w:val="ru-RU"/>
        </w:rPr>
        <w:t>р.с</w:t>
      </w:r>
      <w:proofErr w:type="spellEnd"/>
      <w:r w:rsidRPr="00487DBE">
        <w:rPr>
          <w:rFonts w:ascii="Times New Roman" w:eastAsia="Calibri" w:hAnsi="Times New Roman"/>
          <w:sz w:val="28"/>
          <w:szCs w:val="28"/>
          <w:lang w:val="ru-RU"/>
        </w:rPr>
        <w:t>.: 40204810000000000290;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Банк плательщика: </w:t>
      </w:r>
      <w:proofErr w:type="gramStart"/>
      <w:r w:rsidRPr="00487DBE">
        <w:rPr>
          <w:rFonts w:ascii="Times New Roman" w:eastAsia="Calibri" w:hAnsi="Times New Roman"/>
          <w:sz w:val="28"/>
          <w:szCs w:val="28"/>
          <w:lang w:val="ru-RU"/>
        </w:rPr>
        <w:t>СИБИРСКОЕ</w:t>
      </w:r>
      <w:proofErr w:type="gramEnd"/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 ГУ Банка России 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 г. Новосибирск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 xml:space="preserve">БИК: 045004001; </w:t>
      </w:r>
    </w:p>
    <w:p w:rsidR="00487DBE" w:rsidRPr="00487DBE" w:rsidRDefault="00487DBE" w:rsidP="00487DBE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ОКПО: 04201853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eastAsia="Calibri" w:hAnsi="Times New Roman"/>
          <w:sz w:val="28"/>
          <w:szCs w:val="28"/>
          <w:lang w:val="ru-RU"/>
        </w:rPr>
        <w:t>ОКАТО: 50238807000.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7DBE">
        <w:rPr>
          <w:rFonts w:ascii="Times New Roman" w:hAnsi="Times New Roman"/>
          <w:b/>
          <w:sz w:val="28"/>
          <w:szCs w:val="28"/>
          <w:lang w:val="ru-RU"/>
        </w:rPr>
        <w:t>4. Права и обязанности сторон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4.1. Совет депутатов муниципального района: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осуществления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предусмотренных настоящим Соглашением полномочий;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 Контрольно-счетный орган муниципального района: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 xml:space="preserve"> исполнением бюджета поселения и использованием средств бюджета поселения;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4.2.12) обеспечивает использование сре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 Совет депутатов поселения: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4.4. Стороны имеют право принимать иные меры, необходимые для реализации настоящего Соглашения.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5. Ответственность сторон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непроведенные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ненадлежаще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проведенные) мероприятия.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5.3. Объем межбюджетных трансфертов, приходящихся на проведенные (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непроведенные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ненадлежаще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проведенные) мероприятия определяется следующим образом: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5.3.2) экспертиза проекта бюджета поселения – 1/3 годового объема межбюджетных трансфертов;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5.3.3) другие контрольные и экспертно-аналитические мероприятия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>–о</w:t>
      </w:r>
      <w:proofErr w:type="gramEnd"/>
      <w:r w:rsidRPr="00487DBE">
        <w:rPr>
          <w:rFonts w:ascii="Times New Roman" w:hAnsi="Times New Roman"/>
          <w:sz w:val="28"/>
          <w:szCs w:val="28"/>
          <w:lang w:val="ru-RU"/>
        </w:rPr>
        <w:t>бъем межбюджетных трансфертов, предусмотренных дополнительным соглашением для их проведения.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5.4. </w:t>
      </w:r>
      <w:proofErr w:type="gramStart"/>
      <w:r w:rsidRPr="00487DBE">
        <w:rPr>
          <w:rFonts w:ascii="Times New Roman" w:hAnsi="Times New Roman"/>
          <w:sz w:val="28"/>
          <w:szCs w:val="28"/>
          <w:lang w:val="ru-RU"/>
        </w:rPr>
        <w:t xml:space="preserve">В случае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неперечисления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неперечисленной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суммы.</w:t>
      </w:r>
      <w:proofErr w:type="gramEnd"/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5.5.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 Заключительные положения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6.1. Настоящее Соглашение вступает в силу с момента его подписания всеми сторонами.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6.4. Соглашение прекращает действие после окончания проводимых в соответствии с ним контрольных и экспертно-аналитических мероприятий, </w:t>
      </w:r>
      <w:r w:rsidRPr="00487DBE">
        <w:rPr>
          <w:rFonts w:ascii="Times New Roman" w:hAnsi="Times New Roman"/>
          <w:sz w:val="28"/>
          <w:szCs w:val="28"/>
          <w:lang w:val="ru-RU"/>
        </w:rPr>
        <w:lastRenderedPageBreak/>
        <w:t>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 xml:space="preserve"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487DBE">
        <w:rPr>
          <w:rFonts w:ascii="Times New Roman" w:hAnsi="Times New Roman"/>
          <w:sz w:val="28"/>
          <w:szCs w:val="28"/>
          <w:lang w:val="ru-RU"/>
        </w:rPr>
        <w:t>непроведенные</w:t>
      </w:r>
      <w:proofErr w:type="spellEnd"/>
      <w:r w:rsidRPr="00487DBE">
        <w:rPr>
          <w:rFonts w:ascii="Times New Roman" w:hAnsi="Times New Roman"/>
          <w:sz w:val="28"/>
          <w:szCs w:val="28"/>
          <w:lang w:val="ru-RU"/>
        </w:rPr>
        <w:t xml:space="preserve"> мероприятия.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87DBE">
        <w:rPr>
          <w:rFonts w:ascii="Times New Roman" w:hAnsi="Times New Roman"/>
          <w:sz w:val="28"/>
          <w:szCs w:val="28"/>
          <w:lang w:val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87DBE" w:rsidRPr="00487DBE" w:rsidRDefault="00487DBE" w:rsidP="00487D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7DBE" w:rsidRPr="00487DBE" w:rsidRDefault="00487DBE" w:rsidP="00487DBE">
      <w:pPr>
        <w:shd w:val="clear" w:color="auto" w:fill="FFFFFF"/>
        <w:tabs>
          <w:tab w:val="left" w:pos="60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DBE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487DBE" w:rsidRPr="00487DBE" w:rsidTr="00FC02CE">
        <w:tc>
          <w:tcPr>
            <w:tcW w:w="4927" w:type="dxa"/>
          </w:tcPr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Председатель Совета депутатов Мошковского района Новосибирской области</w:t>
            </w: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______________А.Н. </w:t>
            </w:r>
            <w:proofErr w:type="spellStart"/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>Нарушевич</w:t>
            </w:r>
            <w:proofErr w:type="spellEnd"/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Председатель Совета депутатов Дубровинского сельсовета Мошковского района  Новосибирской области</w:t>
            </w: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  <w:proofErr w:type="spellStart"/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>И.Э.Барц</w:t>
            </w:r>
            <w:proofErr w:type="spellEnd"/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7DBE" w:rsidRPr="00487DBE" w:rsidTr="00FC02CE">
        <w:tc>
          <w:tcPr>
            <w:tcW w:w="4927" w:type="dxa"/>
          </w:tcPr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Ревизионной комиссии</w:t>
            </w: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Мошковского района Новосибирской области</w:t>
            </w: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_____________С.А. </w:t>
            </w:r>
            <w:proofErr w:type="spellStart"/>
            <w:r w:rsidRPr="00487DBE">
              <w:rPr>
                <w:rFonts w:ascii="Times New Roman" w:hAnsi="Times New Roman"/>
                <w:color w:val="000000"/>
                <w:sz w:val="28"/>
                <w:szCs w:val="28"/>
              </w:rPr>
              <w:t>Петрова</w:t>
            </w:r>
            <w:proofErr w:type="spellEnd"/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7DBE" w:rsidRPr="00487DBE" w:rsidRDefault="00487DBE" w:rsidP="00487DBE">
            <w:pPr>
              <w:ind w:righ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2841" w:rsidRPr="00487DBE" w:rsidRDefault="00D02841" w:rsidP="00487DBE">
      <w:pPr>
        <w:rPr>
          <w:rFonts w:ascii="Times New Roman" w:hAnsi="Times New Roman"/>
          <w:sz w:val="28"/>
          <w:szCs w:val="28"/>
        </w:rPr>
      </w:pPr>
    </w:p>
    <w:sectPr w:rsidR="00D02841" w:rsidRPr="00487D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67" w:rsidRDefault="00302F67">
      <w:r>
        <w:separator/>
      </w:r>
    </w:p>
  </w:endnote>
  <w:endnote w:type="continuationSeparator" w:id="0">
    <w:p w:rsidR="00302F67" w:rsidRDefault="0030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DBE">
      <w:rPr>
        <w:noProof/>
      </w:rPr>
      <w:t>7</w:t>
    </w:r>
    <w:r>
      <w:fldChar w:fldCharType="end"/>
    </w:r>
  </w:p>
  <w:p w:rsidR="00FD18FB" w:rsidRDefault="00302F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67" w:rsidRDefault="00302F67">
      <w:r>
        <w:separator/>
      </w:r>
    </w:p>
  </w:footnote>
  <w:footnote w:type="continuationSeparator" w:id="0">
    <w:p w:rsidR="00302F67" w:rsidRDefault="0030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F62BE"/>
    <w:rsid w:val="0024364A"/>
    <w:rsid w:val="002A7BE2"/>
    <w:rsid w:val="002E46B2"/>
    <w:rsid w:val="00302F67"/>
    <w:rsid w:val="003B4314"/>
    <w:rsid w:val="0040397C"/>
    <w:rsid w:val="00466426"/>
    <w:rsid w:val="00475DFD"/>
    <w:rsid w:val="00487DBE"/>
    <w:rsid w:val="00490993"/>
    <w:rsid w:val="004B710B"/>
    <w:rsid w:val="00551E5E"/>
    <w:rsid w:val="0056281C"/>
    <w:rsid w:val="005B27E5"/>
    <w:rsid w:val="00633BF2"/>
    <w:rsid w:val="0068354D"/>
    <w:rsid w:val="006D0BFA"/>
    <w:rsid w:val="0072322F"/>
    <w:rsid w:val="00863535"/>
    <w:rsid w:val="00891736"/>
    <w:rsid w:val="008F5859"/>
    <w:rsid w:val="008F63E1"/>
    <w:rsid w:val="00974446"/>
    <w:rsid w:val="0099262C"/>
    <w:rsid w:val="009D3564"/>
    <w:rsid w:val="009F4309"/>
    <w:rsid w:val="00A12B13"/>
    <w:rsid w:val="00A1514C"/>
    <w:rsid w:val="00A6596D"/>
    <w:rsid w:val="00AD5FFD"/>
    <w:rsid w:val="00AE1613"/>
    <w:rsid w:val="00AF1816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DE5548"/>
    <w:rsid w:val="00DF7E1A"/>
    <w:rsid w:val="00E002F9"/>
    <w:rsid w:val="00E42C4E"/>
    <w:rsid w:val="00EA30F9"/>
    <w:rsid w:val="00EC7A17"/>
    <w:rsid w:val="00ED1429"/>
    <w:rsid w:val="00EF7BD7"/>
    <w:rsid w:val="00F257FC"/>
    <w:rsid w:val="00F47EC3"/>
    <w:rsid w:val="00F6015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uiPriority w:val="99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uiPriority w:val="99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uiPriority w:val="99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uiPriority w:val="99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uiPriority w:val="99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uiPriority w:val="99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uiPriority w:val="99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uiPriority w:val="99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D46A-CE15-4953-AAED-80C92B42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2020-01-15T04:30:00Z</dcterms:created>
  <dcterms:modified xsi:type="dcterms:W3CDTF">2020-01-15T09:00:00Z</dcterms:modified>
</cp:coreProperties>
</file>